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EF7" w:rsidRPr="00D75011" w:rsidRDefault="00C05EF7" w:rsidP="00AB562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A5D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Лекция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</w:t>
      </w:r>
      <w:r w:rsidR="00F72D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D750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ГЛАВНЫЕ СХЕМЫ ЭЛЕКТРИЧЕСКИХ СОЕДИНЕНИЙ 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675350414"/>
      </w:sdtPr>
      <w:sdtContent>
        <w:p w:rsidR="00845578" w:rsidRDefault="00845578" w:rsidP="00845578">
          <w:pPr>
            <w:pStyle w:val="a5"/>
            <w:spacing w:before="0" w:line="240" w:lineRule="auto"/>
          </w:pPr>
          <w:r>
            <w:t>Оглавление</w:t>
          </w:r>
        </w:p>
        <w:p w:rsidR="00845578" w:rsidRPr="00845578" w:rsidRDefault="00F066D8" w:rsidP="00845578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F066D8">
            <w:fldChar w:fldCharType="begin"/>
          </w:r>
          <w:r w:rsidR="00845578">
            <w:instrText xml:space="preserve"> TOC \o "1-3" \h \z \u </w:instrText>
          </w:r>
          <w:r w:rsidRPr="00F066D8">
            <w:fldChar w:fldCharType="separate"/>
          </w:r>
          <w:hyperlink w:anchor="_Toc427400411" w:history="1">
            <w:r w:rsidR="00F72DD0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9</w:t>
            </w:r>
            <w:r w:rsidR="00845578" w:rsidRPr="00845578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.1 Структурные схемы электрической части станций</w:t>
            </w:r>
            <w:r w:rsidR="00845578"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45578"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_Toc427400411 \h </w:instrText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45578"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45578" w:rsidRPr="00845578" w:rsidRDefault="00F066D8" w:rsidP="00845578">
          <w:pPr>
            <w:pStyle w:val="11"/>
            <w:tabs>
              <w:tab w:val="right" w:leader="dot" w:pos="9345"/>
            </w:tabs>
            <w:spacing w:after="0" w:line="240" w:lineRule="auto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400412" w:history="1">
            <w:r w:rsidR="00F72DD0">
              <w:rPr>
                <w:rStyle w:val="a6"/>
                <w:rFonts w:ascii="Times New Roman" w:eastAsia="Times New Roman" w:hAnsi="Times New Roman" w:cs="Times New Roman"/>
                <w:noProof/>
                <w:spacing w:val="-5"/>
                <w:sz w:val="28"/>
                <w:szCs w:val="28"/>
                <w:lang w:eastAsia="ru-RU"/>
              </w:rPr>
              <w:t>9</w:t>
            </w:r>
            <w:r w:rsidR="00845578" w:rsidRPr="00845578">
              <w:rPr>
                <w:rStyle w:val="a6"/>
                <w:rFonts w:ascii="Times New Roman" w:eastAsia="Times New Roman" w:hAnsi="Times New Roman" w:cs="Times New Roman"/>
                <w:noProof/>
                <w:spacing w:val="-5"/>
                <w:sz w:val="28"/>
                <w:szCs w:val="28"/>
                <w:lang w:eastAsia="ru-RU"/>
              </w:rPr>
              <w:t>.2 Типовые структурные схемы районных подстанций</w:t>
            </w:r>
            <w:r w:rsidR="00845578"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45578"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_Toc427400412 \h </w:instrText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45578"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45578" w:rsidRDefault="00F066D8" w:rsidP="00845578">
          <w:pPr>
            <w:pStyle w:val="11"/>
            <w:tabs>
              <w:tab w:val="right" w:leader="dot" w:pos="9345"/>
            </w:tabs>
            <w:spacing w:after="0" w:line="240" w:lineRule="auto"/>
            <w:rPr>
              <w:noProof/>
            </w:rPr>
          </w:pPr>
          <w:hyperlink w:anchor="_Toc427400413" w:history="1">
            <w:r w:rsidR="00F72DD0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9</w:t>
            </w:r>
            <w:r w:rsidR="00845578" w:rsidRPr="00845578">
              <w:rPr>
                <w:rStyle w:val="a6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.3 Выбор номинальной мощности трансформатора</w:t>
            </w:r>
            <w:r w:rsidR="00845578"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845578"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_Toc427400413 \h </w:instrText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845578"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845578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45578" w:rsidRDefault="00F066D8" w:rsidP="00845578">
          <w:pPr>
            <w:pStyle w:val="11"/>
            <w:tabs>
              <w:tab w:val="right" w:leader="dot" w:pos="9345"/>
            </w:tabs>
            <w:spacing w:after="0" w:line="240" w:lineRule="auto"/>
            <w:rPr>
              <w:noProof/>
            </w:rPr>
          </w:pPr>
          <w:hyperlink w:anchor="_Toc427400414" w:history="1">
            <w:r w:rsidR="00F72DD0" w:rsidRPr="00F72DD0">
              <w:rPr>
                <w:rStyle w:val="a6"/>
                <w:rFonts w:ascii="Times New Roman" w:eastAsia="Times New Roman" w:hAnsi="Times New Roman" w:cs="Times New Roman"/>
                <w:noProof/>
                <w:spacing w:val="-3"/>
                <w:sz w:val="28"/>
                <w:szCs w:val="28"/>
                <w:lang w:eastAsia="ru-RU"/>
              </w:rPr>
              <w:t>9</w:t>
            </w:r>
            <w:r w:rsidR="00845578" w:rsidRPr="00F72DD0">
              <w:rPr>
                <w:rStyle w:val="a6"/>
                <w:rFonts w:ascii="Times New Roman" w:eastAsia="Times New Roman" w:hAnsi="Times New Roman" w:cs="Times New Roman"/>
                <w:noProof/>
                <w:spacing w:val="-3"/>
                <w:sz w:val="28"/>
                <w:szCs w:val="28"/>
                <w:lang w:eastAsia="ru-RU"/>
              </w:rPr>
              <w:t>.4 Выборгенераторов</w:t>
            </w:r>
            <w:r w:rsidR="00845578" w:rsidRPr="00F72DD0">
              <w:rPr>
                <w:rStyle w:val="a6"/>
                <w:rFonts w:ascii="Times New Roman" w:eastAsia="Times New Roman" w:hAnsi="Times New Roman" w:cs="Arial"/>
                <w:noProof/>
                <w:spacing w:val="-3"/>
                <w:sz w:val="28"/>
                <w:szCs w:val="28"/>
                <w:lang w:eastAsia="ru-RU"/>
              </w:rPr>
              <w:t>.</w:t>
            </w:r>
            <w:r w:rsidR="00845578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845578">
              <w:rPr>
                <w:noProof/>
                <w:webHidden/>
              </w:rPr>
              <w:instrText xml:space="preserve"> PAGEREF _Toc427400414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45578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05EF7" w:rsidRPr="00845578" w:rsidRDefault="00F066D8" w:rsidP="00845578">
          <w:pPr>
            <w:spacing w:after="0" w:line="240" w:lineRule="auto"/>
          </w:pPr>
          <w:r>
            <w:rPr>
              <w:b/>
              <w:bCs/>
            </w:rPr>
            <w:fldChar w:fldCharType="end"/>
          </w:r>
        </w:p>
      </w:sdtContent>
    </w:sdt>
    <w:p w:rsidR="00C05EF7" w:rsidRPr="00D75011" w:rsidRDefault="00845578" w:rsidP="00845578">
      <w:pPr>
        <w:pStyle w:val="1"/>
        <w:spacing w:before="0" w:after="120" w:line="240" w:lineRule="auto"/>
        <w:rPr>
          <w:rFonts w:ascii="Times New Roman" w:eastAsia="Times New Roman" w:hAnsi="Times New Roman" w:cs="Times New Roman"/>
          <w:b w:val="0"/>
          <w:lang w:eastAsia="ru-RU"/>
        </w:rPr>
      </w:pPr>
      <w:bookmarkStart w:id="0" w:name="_Toc427400411"/>
      <w:r>
        <w:rPr>
          <w:rFonts w:ascii="Times New Roman" w:eastAsia="Times New Roman" w:hAnsi="Times New Roman" w:cs="Times New Roman"/>
          <w:lang w:eastAsia="ru-RU"/>
        </w:rPr>
        <w:tab/>
      </w:r>
      <w:r w:rsidR="00F72DD0">
        <w:rPr>
          <w:rFonts w:ascii="Times New Roman" w:eastAsia="Times New Roman" w:hAnsi="Times New Roman" w:cs="Times New Roman"/>
          <w:lang w:eastAsia="ru-RU"/>
        </w:rPr>
        <w:t>9</w:t>
      </w:r>
      <w:r w:rsidR="00C05EF7">
        <w:rPr>
          <w:rFonts w:ascii="Times New Roman" w:eastAsia="Times New Roman" w:hAnsi="Times New Roman" w:cs="Times New Roman"/>
          <w:lang w:eastAsia="ru-RU"/>
        </w:rPr>
        <w:t>.1 Структурные схемы электрической части станций</w:t>
      </w:r>
      <w:bookmarkEnd w:id="0"/>
    </w:p>
    <w:p w:rsidR="00C05EF7" w:rsidRPr="00D75011" w:rsidRDefault="00C05EF7" w:rsidP="00C05EF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Структурная схема электрической части станции задает распределение </w:t>
      </w:r>
      <w:bookmarkStart w:id="1" w:name="_GoBack"/>
      <w:bookmarkEnd w:id="1"/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генераторов между РУ различных напряжений, определяет электромагнитные связи (трансформаторные или автотрансформаторные) между РУ и состав блоков генератор — трансформатор. Выбор структурной схемы основывается на сравнении возможных вариантов по технико-экономическим критериям, и лишь в простейших случаях (подстанция с двумя напряжениями, ГЭС с двумя агрегатами и т. п.) составление структурной схемы приводит к однозначному, чаще всего типовому, решению.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вариант структурной схемы представляет собой технически возможное решение, для которого выбираются тран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сформаторы и оцениваются приведё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нные затрат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ы. Вариант с наименьшими приведё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нными затратами принимается для дальнейшей проработки схем РУ. Если несколько вари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антов попадают в зону неопределё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нности по приведенным затратам, с учетом капиталовложений, издержек и стоимости потерь, то наилучший вариант выбирается с помощью комплексной оценки качества. Возможно также решение о дальнейшей разработке двух-трех вариантов структурной схемы до вариантов главной схемы электрических соединений.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0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составлении структурной схемы станции (подстанции) расчеты токов КЗ не производятся, выключатели выбираются только по номинальным напряжениям и максимальным токам ячеек трансформаторов и автотрансформаторов.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7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рис. 7.1 приведены схемы блоков генератор — трансформатор. Укрупнение блоков экономически целесообразно. Однако мощность блока не должна превышать допустимой по условиям устойчивости и резервирования в системе.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7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27500" cy="1638300"/>
            <wp:effectExtent l="0" t="0" r="6350" b="0"/>
            <wp:docPr id="1" name="Рисунок 1" descr="pro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ba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750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84" w:right="1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Рис. 7.1. Схемы блоков генератор – трансформатор: </w:t>
      </w:r>
      <w:r w:rsidRPr="00D75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– единичный без генераторного выключателя; б – единичный с генераторным выключателем; в – </w:t>
      </w:r>
      <w:r w:rsidR="001A4051" w:rsidRPr="00D750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объединённый</w:t>
      </w:r>
      <w:r w:rsidRPr="00D75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г – </w:t>
      </w:r>
      <w:r w:rsidR="001A4051" w:rsidRPr="00D75011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укрупнённый</w:t>
      </w:r>
      <w:r w:rsidRPr="00D75011">
        <w:rPr>
          <w:rFonts w:ascii="Times New Roman" w:eastAsia="Times New Roman" w:hAnsi="Times New Roman" w:cs="Times New Roman"/>
          <w:sz w:val="24"/>
          <w:szCs w:val="24"/>
          <w:lang w:eastAsia="ru-RU"/>
        </w:rPr>
        <w:t>; д,е – сдвоенные.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7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5EF7" w:rsidRPr="00D75011" w:rsidRDefault="00C05EF7" w:rsidP="00C05EF7">
      <w:pPr>
        <w:shd w:val="clear" w:color="auto" w:fill="FFFFFF"/>
        <w:spacing w:after="0" w:line="240" w:lineRule="auto"/>
        <w:ind w:lef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генераторных выключателей снижает число коммутаций в РУ повышенного напряжения и РУСН и повышает надежность работы РУ за счет локализации отказов генератора и турбины. Генераторный выключатель повышает в целом надежность блока, так как упрощает эксплуатацию и  позволяет пускать и останавливать блок без переключений СН на резервный трансформатор. С другой стороны, наличие генераторного выключателя как дополнительного элемента понижает безотказность самого блока. Кроме того, для блоков мощностью свыше 500 МВт генераторные выключатели не выпускаются. Для блоков 800 МВт и более освоен выпуск выключателей нагрузки КАГ (комплекс аппаратный генераторный), которые предназначены для включения и отключения генератора, но не позволяют отключать токи КЗ.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объединённых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укрупнённых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блоках и блоках с автотрансформаторами генераторные выключатели ставятся всегда, как и в единичных блоках пиковых электростанций. Генераторные выключатели необходимы также в единичных блоках, если РУ выполняется по схеме многоугольника, схеме </w:t>
      </w:r>
      <w:r w:rsidRPr="00D7501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/2 или </w:t>
      </w:r>
      <w:r w:rsidRPr="00D75011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4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/з.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Структурные схемы электростанций с мощными блоками показаны на рис. 7.2. Схема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применяется в том случае, когда имеется одно повышенное напряжение. При использовании схемы 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мощность блоков,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присоединённых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РУ среднего напряжения, должна быть равна мощности, выдаваемой в сеть среднего напряжения. Схема 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составлена так, чтобы в РУ среднего напряжения был избыток генерирующей мощности, так как при автотрансформаторной связи передача мощности со стороны высшего в сторону среднего напряжения недопустима по условию загрузки общей обмотки при номинальной нагрузке третичной обмотки. Схема 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применяется при небольшой доле мощности, выдаваемой на среднем напряжении. Если сеть среднего напряжения имеет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незаземлённую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компенсированную           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921000" cy="2794000"/>
            <wp:effectExtent l="0" t="0" r="0" b="6350"/>
            <wp:docPr id="2" name="Рисунок 2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b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27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EF7" w:rsidRPr="00D75011" w:rsidRDefault="00C05EF7" w:rsidP="00C05EF7">
      <w:pPr>
        <w:shd w:val="clear" w:color="auto" w:fill="FFFFFF"/>
        <w:spacing w:after="0" w:line="240" w:lineRule="auto"/>
        <w:ind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7.2. Структурные схемы электростанций с мощными блоками.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5EF7" w:rsidRPr="00D75011" w:rsidRDefault="00C05EF7" w:rsidP="00C05EF7">
      <w:pPr>
        <w:shd w:val="clear" w:color="auto" w:fill="FFFFFF"/>
        <w:spacing w:after="0" w:line="240" w:lineRule="auto"/>
        <w:ind w:lef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нейтраль, то вместо автотрансформаторов в схемах 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устанавливаются трехобмоточные трансформаторы. 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Структурные схемы ТЭЦ приведены на рис. 7.3. 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08400" cy="4191000"/>
            <wp:effectExtent l="0" t="0" r="6350" b="0"/>
            <wp:docPr id="3" name="Рисунок 3" descr="pro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ba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2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 7.3. Структурные схемы ТЭЦ 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</w:p>
    <w:p w:rsidR="00C05EF7" w:rsidRPr="00D75011" w:rsidRDefault="00C05EF7" w:rsidP="00C05EF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</w:p>
    <w:p w:rsidR="00C05EF7" w:rsidRPr="00D75011" w:rsidRDefault="00C05EF7" w:rsidP="00C05EF7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Если </w:t>
      </w:r>
      <w:r w:rsidRPr="00D75011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мощность местной нагрузки б—10 кВ не менее 50 % установлен</w:t>
      </w:r>
      <w:r w:rsidRPr="00D75011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ной мощности, а мощность агрегатов 30—60 МВт, то целесообразны схемы </w:t>
      </w:r>
      <w:r w:rsidRPr="00D75011">
        <w:rPr>
          <w:rFonts w:ascii="Times New Roman" w:eastAsia="Times New Roman" w:hAnsi="Times New Roman" w:cs="Times New Roman"/>
          <w:i/>
          <w:spacing w:val="-8"/>
          <w:sz w:val="28"/>
          <w:szCs w:val="28"/>
          <w:lang w:eastAsia="ru-RU"/>
        </w:rPr>
        <w:t xml:space="preserve">а, </w:t>
      </w:r>
      <w:r w:rsidRPr="00D75011">
        <w:rPr>
          <w:rFonts w:ascii="Times New Roman" w:eastAsia="Times New Roman" w:hAnsi="Times New Roman" w:cs="Times New Roman"/>
          <w:i/>
          <w:iCs/>
          <w:spacing w:val="-8"/>
          <w:sz w:val="28"/>
          <w:szCs w:val="28"/>
          <w:lang w:eastAsia="ru-RU"/>
        </w:rPr>
        <w:t>б</w:t>
      </w:r>
      <w:r w:rsidRPr="00D75011">
        <w:rPr>
          <w:rFonts w:ascii="Times New Roman" w:eastAsia="Times New Roman" w:hAnsi="Times New Roman" w:cs="Times New Roman"/>
          <w:iCs/>
          <w:spacing w:val="-8"/>
          <w:sz w:val="28"/>
          <w:szCs w:val="28"/>
          <w:lang w:eastAsia="ru-RU"/>
        </w:rPr>
        <w:t xml:space="preserve">. </w:t>
      </w:r>
      <w:r w:rsidRPr="00D75011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При </w:t>
      </w:r>
      <w:r w:rsidRPr="00D75011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lastRenderedPageBreak/>
        <w:t>наличии местной нагрузки на двух на</w:t>
      </w:r>
      <w:r w:rsidRPr="00D75011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пряжениях применяются схемы </w:t>
      </w:r>
      <w:r w:rsidRPr="00D75011">
        <w:rPr>
          <w:rFonts w:ascii="Times New Roman" w:eastAsia="Times New Roman" w:hAnsi="Times New Roman" w:cs="Times New Roman"/>
          <w:i/>
          <w:iCs/>
          <w:spacing w:val="60"/>
          <w:sz w:val="28"/>
          <w:szCs w:val="28"/>
          <w:lang w:eastAsia="ru-RU"/>
        </w:rPr>
        <w:t>в</w:t>
      </w:r>
      <w:r w:rsidRPr="00D75011">
        <w:rPr>
          <w:rFonts w:ascii="Times New Roman" w:eastAsia="Times New Roman" w:hAnsi="Times New Roman" w:cs="Times New Roman"/>
          <w:iCs/>
          <w:spacing w:val="60"/>
          <w:sz w:val="28"/>
          <w:szCs w:val="28"/>
          <w:lang w:eastAsia="ru-RU"/>
        </w:rPr>
        <w:t>и</w:t>
      </w:r>
      <w:r w:rsidRPr="00D75011">
        <w:rPr>
          <w:rFonts w:ascii="Times New Roman" w:eastAsia="Times New Roman" w:hAnsi="Times New Roman" w:cs="Times New Roman"/>
          <w:i/>
          <w:iCs/>
          <w:spacing w:val="60"/>
          <w:sz w:val="28"/>
          <w:szCs w:val="28"/>
          <w:lang w:eastAsia="ru-RU"/>
        </w:rPr>
        <w:t>г</w:t>
      </w:r>
      <w:r w:rsidRPr="00D75011">
        <w:rPr>
          <w:rFonts w:ascii="Times New Roman" w:eastAsia="Times New Roman" w:hAnsi="Times New Roman" w:cs="Times New Roman"/>
          <w:iCs/>
          <w:spacing w:val="60"/>
          <w:sz w:val="28"/>
          <w:szCs w:val="28"/>
          <w:lang w:eastAsia="ru-RU"/>
        </w:rPr>
        <w:t>.</w:t>
      </w:r>
      <w:r w:rsidRPr="00D75011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Если мощность местной </w:t>
      </w:r>
      <w:r w:rsidRPr="00D75011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нагрузки менее 30 % установленной мощности генераторов ТЭЦ, </w:t>
      </w:r>
      <w:r w:rsidRPr="00D75011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то применяются схемы </w:t>
      </w:r>
      <w:r w:rsidRPr="00D75011">
        <w:rPr>
          <w:rFonts w:ascii="Times New Roman" w:eastAsia="Times New Roman" w:hAnsi="Times New Roman" w:cs="Times New Roman"/>
          <w:i/>
          <w:iCs/>
          <w:spacing w:val="-7"/>
          <w:sz w:val="28"/>
          <w:szCs w:val="28"/>
          <w:lang w:eastAsia="ru-RU"/>
        </w:rPr>
        <w:t>д</w:t>
      </w:r>
      <w:r w:rsidRPr="00D75011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 xml:space="preserve"> и </w:t>
      </w:r>
      <w:r w:rsidRPr="00D75011">
        <w:rPr>
          <w:rFonts w:ascii="Times New Roman" w:eastAsia="Times New Roman" w:hAnsi="Times New Roman" w:cs="Times New Roman"/>
          <w:i/>
          <w:iCs/>
          <w:spacing w:val="-7"/>
          <w:sz w:val="28"/>
          <w:szCs w:val="28"/>
          <w:lang w:eastAsia="ru-RU"/>
        </w:rPr>
        <w:t>е.</w:t>
      </w:r>
      <w:r w:rsidRPr="00D75011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Номинальное напряжение совре</w:t>
      </w: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менных генераторов теплофикационных блоков мощностью более 100 МВт—13,8—18 кВ, и, следовательно, местная на</w:t>
      </w:r>
      <w:r w:rsidRPr="00D75011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грузка 6—10 кВ может быть присоединена к этим блокам только через понижающий трансформатор, включенный между генера</w:t>
      </w:r>
      <w:r w:rsidRPr="00D7501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торным выключателем и блочным трансформатором.</w:t>
      </w:r>
    </w:p>
    <w:p w:rsidR="001A4051" w:rsidRDefault="004613A5" w:rsidP="004613A5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spacing w:val="-5"/>
          <w:lang w:eastAsia="ru-RU"/>
        </w:rPr>
      </w:pPr>
      <w:bookmarkStart w:id="2" w:name="_Toc427400412"/>
      <w:r>
        <w:rPr>
          <w:rFonts w:ascii="Times New Roman" w:eastAsia="Times New Roman" w:hAnsi="Times New Roman" w:cs="Times New Roman"/>
          <w:spacing w:val="-5"/>
          <w:lang w:eastAsia="ru-RU"/>
        </w:rPr>
        <w:tab/>
      </w:r>
      <w:r w:rsidR="00F72DD0">
        <w:rPr>
          <w:rFonts w:ascii="Times New Roman" w:eastAsia="Times New Roman" w:hAnsi="Times New Roman" w:cs="Times New Roman"/>
          <w:spacing w:val="-5"/>
          <w:lang w:eastAsia="ru-RU"/>
        </w:rPr>
        <w:t>9</w:t>
      </w:r>
      <w:r w:rsidR="001A4051">
        <w:rPr>
          <w:rFonts w:ascii="Times New Roman" w:eastAsia="Times New Roman" w:hAnsi="Times New Roman" w:cs="Times New Roman"/>
          <w:spacing w:val="-5"/>
          <w:lang w:eastAsia="ru-RU"/>
        </w:rPr>
        <w:t xml:space="preserve">.2 </w:t>
      </w:r>
      <w:r w:rsidR="001A4051" w:rsidRPr="00D75011">
        <w:rPr>
          <w:rFonts w:ascii="Times New Roman" w:eastAsia="Times New Roman" w:hAnsi="Times New Roman" w:cs="Times New Roman"/>
          <w:spacing w:val="-5"/>
          <w:lang w:eastAsia="ru-RU"/>
        </w:rPr>
        <w:t>Типовые структурные схемы районных подстанций</w:t>
      </w:r>
      <w:bookmarkEnd w:id="2"/>
    </w:p>
    <w:p w:rsidR="00C05EF7" w:rsidRPr="00D75011" w:rsidRDefault="00C05EF7" w:rsidP="00C05EF7">
      <w:pPr>
        <w:shd w:val="clear" w:color="auto" w:fill="FFFFFF"/>
        <w:spacing w:after="0" w:line="240" w:lineRule="auto"/>
        <w:ind w:left="2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Типовые структурные схемы районных подстанций с тремя </w:t>
      </w:r>
      <w:r w:rsidRPr="00D75011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или двумя напряжениями приведены на рис. 7.4. На этих под</w:t>
      </w:r>
      <w:r w:rsidRPr="00D75011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станциях устанавливается, как правило, два трансформатора. </w:t>
      </w:r>
      <w:r w:rsidRPr="00D75011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Структурные схемы узловых подстанций энергосистем состав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ляются на основе оценки направлений и значений 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2" w:right="2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05300" cy="2108200"/>
            <wp:effectExtent l="0" t="0" r="0" b="6350"/>
            <wp:docPr id="4" name="Рисунок 4" descr="prob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oba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2" w:right="2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7.4 .Типовые структурные схемы районных подстанций.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2" w:right="2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5EF7" w:rsidRPr="00D75011" w:rsidRDefault="00C05EF7" w:rsidP="00C05EF7">
      <w:pPr>
        <w:shd w:val="clear" w:color="auto" w:fill="FFFFFF"/>
        <w:spacing w:after="0" w:line="240" w:lineRule="auto"/>
        <w:ind w:left="5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мощностей в узле при различных режимах и требования надежной связи между сетями при повреждениях трансформаторов и секций шин.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Выбор трансформаторов.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Выбор трансформаторов заключается в определении их числа, типа и номинальной мощности. Рекомендуется применять трехфазные трансформаторы. В тех случаях, когда невозможно изготовление трехфазных трансформаторов очень большой мощности или имеются ограничения при транспортировке (железная дорога, горные условия и др.), допускается применение групп из двух трехфазных или трех однофазных трансформаторов.</w:t>
      </w:r>
    </w:p>
    <w:p w:rsidR="00C05EF7" w:rsidRPr="00D75011" w:rsidRDefault="00C05EF7" w:rsidP="00C05EF7">
      <w:pPr>
        <w:shd w:val="clear" w:color="auto" w:fill="FFFFFF"/>
        <w:spacing w:before="2" w:after="0" w:line="240" w:lineRule="auto"/>
        <w:ind w:righ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Резервный однофазный трансформатор предусматривается один на девять устанавливаемых однофазных единиц. При установке одной группы однофазных автотрансформаторов для связи между РУ среднего и высшего напряжений возможно обоснование резервной фазы по условиям обеспечения </w:t>
      </w:r>
      <w:r w:rsidR="00237C3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надёжной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сети. Резервная фаза подключается вместо ремонтируемой путем перекатки и перестановки.</w:t>
      </w:r>
    </w:p>
    <w:p w:rsidR="00C05EF7" w:rsidRDefault="00C05EF7" w:rsidP="00C05EF7">
      <w:pPr>
        <w:shd w:val="clear" w:color="auto" w:fill="FFFFFF"/>
        <w:spacing w:after="0" w:line="240" w:lineRule="auto"/>
        <w:ind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трехобмоточные трансформаторы и автотрансформаторы, а также двухобмоточные трансформаторы подстанций и станций (кроме блочных) должны иметь встроенные устройства регулирования напряжения под нагрузкой (РПН).</w:t>
      </w:r>
    </w:p>
    <w:p w:rsidR="001A4051" w:rsidRPr="00D75011" w:rsidRDefault="004613A5" w:rsidP="004613A5">
      <w:pPr>
        <w:pStyle w:val="1"/>
        <w:spacing w:before="120" w:after="120" w:line="240" w:lineRule="auto"/>
        <w:rPr>
          <w:rFonts w:ascii="Times New Roman" w:eastAsia="Times New Roman" w:hAnsi="Times New Roman" w:cs="Times New Roman"/>
          <w:lang w:eastAsia="ru-RU"/>
        </w:rPr>
      </w:pPr>
      <w:bookmarkStart w:id="3" w:name="_Toc427400413"/>
      <w:r>
        <w:rPr>
          <w:rFonts w:ascii="Times New Roman" w:eastAsia="Times New Roman" w:hAnsi="Times New Roman" w:cs="Times New Roman"/>
          <w:lang w:eastAsia="ru-RU"/>
        </w:rPr>
        <w:lastRenderedPageBreak/>
        <w:tab/>
      </w:r>
      <w:r w:rsidR="00F72DD0">
        <w:rPr>
          <w:rFonts w:ascii="Times New Roman" w:eastAsia="Times New Roman" w:hAnsi="Times New Roman" w:cs="Times New Roman"/>
          <w:lang w:eastAsia="ru-RU"/>
        </w:rPr>
        <w:t>9</w:t>
      </w:r>
      <w:r w:rsidR="001A4051">
        <w:rPr>
          <w:rFonts w:ascii="Times New Roman" w:eastAsia="Times New Roman" w:hAnsi="Times New Roman" w:cs="Times New Roman"/>
          <w:lang w:eastAsia="ru-RU"/>
        </w:rPr>
        <w:t>.3</w:t>
      </w:r>
      <w:r w:rsidR="001A4051" w:rsidRPr="00D75011">
        <w:rPr>
          <w:rFonts w:ascii="Times New Roman" w:eastAsia="Times New Roman" w:hAnsi="Times New Roman" w:cs="Times New Roman"/>
          <w:lang w:eastAsia="ru-RU"/>
        </w:rPr>
        <w:t>Выбор номинальной мощности трансформатора</w:t>
      </w:r>
      <w:bookmarkEnd w:id="3"/>
    </w:p>
    <w:p w:rsidR="00C05EF7" w:rsidRPr="00D75011" w:rsidRDefault="00C05EF7" w:rsidP="00C05EF7">
      <w:pPr>
        <w:shd w:val="clear" w:color="auto" w:fill="FFFFFF"/>
        <w:spacing w:after="0" w:line="240" w:lineRule="auto"/>
        <w:ind w:left="7" w:righ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Выбор номинальной мощности трансформатора производится с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учётом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перегрузочной способности:</w:t>
      </w:r>
    </w:p>
    <w:p w:rsidR="00C05EF7" w:rsidRPr="00D75011" w:rsidRDefault="00C05EF7" w:rsidP="00C05EF7">
      <w:pPr>
        <w:shd w:val="clear" w:color="auto" w:fill="FFFFFF"/>
        <w:spacing w:before="163" w:after="0" w:line="240" w:lineRule="auto"/>
        <w:ind w:left="10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≥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расч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/К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где </w:t>
      </w:r>
      <w:r w:rsidRPr="00D75011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pacing w:val="-1"/>
          <w:sz w:val="28"/>
          <w:szCs w:val="28"/>
          <w:vertAlign w:val="subscript"/>
          <w:lang w:val="en-US" w:eastAsia="ru-RU"/>
        </w:rPr>
        <w:t>H</w:t>
      </w:r>
      <w:r w:rsidRPr="00D7501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— номинальная мощность трансформатора; </w:t>
      </w:r>
      <w:r w:rsidRPr="00D75011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pacing w:val="-1"/>
          <w:sz w:val="28"/>
          <w:szCs w:val="28"/>
          <w:vertAlign w:val="subscript"/>
          <w:lang w:eastAsia="ru-RU"/>
        </w:rPr>
        <w:t>расч</w:t>
      </w:r>
      <w:r w:rsidRPr="00D7501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— рас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четная мощность, т. е. такая максимальная длительная нагрузка, которую должен выдерживать трансформатор; 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Кп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— допустимый коэффициент перегрузки для данного типа трансформатора в заданных условиях, определяемых по ГОСТ.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определении </w:t>
      </w:r>
      <w:r w:rsidRPr="00D75011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pacing w:val="-1"/>
          <w:sz w:val="28"/>
          <w:szCs w:val="28"/>
          <w:vertAlign w:val="subscript"/>
          <w:lang w:eastAsia="ru-RU"/>
        </w:rPr>
        <w:t>расч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принимается во внимание нагрузка на пятый год, если считать с момента ввода сооружения станции,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причём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учитывается перспектива дальнейшего развития станции на 5—10 лет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вперёд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блочной схеме соединения генератора с трансформатором, последний должен обеспечивать выдачу мощности генератора в сеть повышенного напряжения.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генератор без местной нагрузки включается в блок с повышающим автотрансформатором, то расчетная мощность последнего определяется максимальной нагрузкой третичной обмотки, к которой присоединен генератор:</w:t>
      </w:r>
    </w:p>
    <w:p w:rsidR="00C05EF7" w:rsidRPr="00D75011" w:rsidRDefault="00C05EF7" w:rsidP="00C05EF7">
      <w:pPr>
        <w:shd w:val="clear" w:color="auto" w:fill="FFFFFF"/>
        <w:spacing w:before="10" w:after="0" w:line="240" w:lineRule="auto"/>
        <w:ind w:left="296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1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9pt;height:35pt" o:ole="">
            <v:imagedata r:id="rId11" o:title=""/>
          </v:shape>
          <o:OLEObject Type="Embed" ProgID="Equation.3" ShapeID="_x0000_i1025" DrawAspect="Content" ObjectID="_1569414633" r:id="rId12"/>
        </w:objec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C05EF7" w:rsidRPr="00D75011" w:rsidRDefault="00C05EF7" w:rsidP="00C05EF7">
      <w:pPr>
        <w:shd w:val="clear" w:color="auto" w:fill="FFFFFF"/>
        <w:spacing w:before="211"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где</w:t>
      </w:r>
      <w:r w:rsidRPr="00D75011">
        <w:rPr>
          <w:rFonts w:ascii="Times New Roman" w:eastAsia="Times New Roman" w:hAnsi="Times New Roman" w:cs="Times New Roman"/>
          <w:iCs/>
          <w:position w:val="-30"/>
          <w:sz w:val="28"/>
          <w:szCs w:val="28"/>
          <w:lang w:eastAsia="ru-RU"/>
        </w:rPr>
        <w:object w:dxaOrig="2340" w:dyaOrig="700">
          <v:shape id="_x0000_i1026" type="#_x0000_t75" style="width:117pt;height:35pt" o:ole="">
            <v:imagedata r:id="rId13" o:title=""/>
          </v:shape>
          <o:OLEObject Type="Embed" ProgID="Equation.3" ShapeID="_x0000_i1026" DrawAspect="Content" ObjectID="_1569414634" r:id="rId14"/>
        </w:object>
      </w:r>
      <w:r w:rsidRPr="00D7501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коэффициент типовой мощности автотрансформатора </w:t>
      </w:r>
      <w:r w:rsidRPr="00D7501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(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U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B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,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U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C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номинальные высшее и среднее напряжения;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тип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типовая    мощность    автотрансформатора).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выбора номинальной мощности автотрансформатора проверяется возможность передачи через него максимальной мощности из РУ среднего в РУ высшего напряжения. Если такой режим нагрузки оказывается недопустимым, то изменяют или число блоков, присоединенных к РУ среднего напряжения, или число автотрансформаторов.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4" w:righ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суточный график нагрузки генератора, а следовательно, и блочного трансформатора имеет заметно выраженное понижение мощности в ночное время, то при выборе номинальной мощности трансформатора можно учесть его способность к систематическим перегрузкам в дневное время без сокращения срока службы, т. е.</w:t>
      </w:r>
    </w:p>
    <w:p w:rsidR="00C05EF7" w:rsidRPr="00D75011" w:rsidRDefault="00C05EF7" w:rsidP="00C05EF7">
      <w:pPr>
        <w:shd w:val="clear" w:color="auto" w:fill="FFFFFF"/>
        <w:spacing w:before="252" w:after="0" w:line="240" w:lineRule="auto"/>
        <w:ind w:right="19" w:firstLine="720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≥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расч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/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K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п.сист</w:t>
      </w:r>
    </w:p>
    <w:p w:rsidR="00C05EF7" w:rsidRPr="00D75011" w:rsidRDefault="00C05EF7" w:rsidP="00C05EF7">
      <w:pPr>
        <w:shd w:val="clear" w:color="auto" w:fill="FFFFFF"/>
        <w:spacing w:before="199" w:after="0" w:line="240" w:lineRule="auto"/>
        <w:ind w:left="19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где </w:t>
      </w:r>
      <w:r w:rsidRPr="00D75011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eastAsia="ru-RU"/>
        </w:rPr>
        <w:t>К</w:t>
      </w:r>
      <w:r w:rsidRPr="00D75011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vertAlign w:val="subscript"/>
          <w:lang w:eastAsia="ru-RU"/>
        </w:rPr>
        <w:t>п.сист</w:t>
      </w: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— допустимый коэффициент систематических пере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грузок, который определяется по графикам нагрузочной способности трансформаторов (мощностью до 250 </w:t>
      </w:r>
      <w:r w:rsidRPr="00D7501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MB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• А включительно) согласно ГОСТ.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2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ГЭС расчетные нагрузки обычно имеют место в период паводка. Поскольку в это время ГЭС переходят в базовый режим и графики нагрузок блоков становятся ровными, то при выборе номинальной мощности блочных трансформаторов перегрузочная способность не учитывается.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0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Расчетная мощность автотрансформаторов связи, включенных между РУ высшего и среднего напряжения, определяется на основе анализа перетоков мощности между этими РУ в нормальном и аварийном режимах. В частности, необходимо рассматривать отключение одного из блоков, </w:t>
      </w:r>
      <w:r w:rsidR="00237C3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присоединённых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РУ среднего напряжения. При выборе числа автотрансформаторов связи учитывается, во-первых, требуемая надежность электроснабжения потребителей сети среднего напряжения, а, во-вторых, — допустимость изолированной работы блоков на РУ среднего напряжения. Если нарушение связи между РУ высшего и среднего напряжений влечет за собой недоотпуск электроэнергии потребителям или окажется, что минимальная нагрузка сети среднего напряжения ниже технологического минимума мощности отделившихся блоков, то предусматриваются два автотрансформатора связи.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трансформаторов, связывающих РУ генераторного и повышенного напряжений ТЭЦ, составляются и анализируются предполагаемые графики нагрузки трансформаторов связи; в нормальном режиме (зимой и летом); при отключении одного из работающих генераторов; при необходимости мобилизации вращающегося резерва, когда мощность генераторов ТЭЦ увеличивается до номинальной.</w:t>
      </w:r>
    </w:p>
    <w:p w:rsidR="00C05EF7" w:rsidRPr="00D75011" w:rsidRDefault="00C05EF7" w:rsidP="00C05EF7">
      <w:pPr>
        <w:shd w:val="clear" w:color="auto" w:fill="FFFFFF"/>
        <w:spacing w:before="2" w:after="0" w:line="240" w:lineRule="auto"/>
        <w:ind w:left="12" w:right="2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Мощность, передаваемая через трансформаторы связи, в общем случае (при разных коэффициентах мощности генераторов, местной нагрузки и собственных нужд) </w:t>
      </w:r>
    </w:p>
    <w:p w:rsidR="00C05EF7" w:rsidRPr="00D75011" w:rsidRDefault="00C05EF7" w:rsidP="00C05EF7">
      <w:pPr>
        <w:shd w:val="clear" w:color="auto" w:fill="FFFFFF"/>
        <w:spacing w:before="2" w:after="0" w:line="240" w:lineRule="auto"/>
        <w:ind w:left="12" w:right="2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5100" w:dyaOrig="460">
          <v:shape id="_x0000_i1027" type="#_x0000_t75" style="width:255pt;height:23pt" o:ole="">
            <v:imagedata r:id="rId15" o:title=""/>
          </v:shape>
          <o:OLEObject Type="Embed" ProgID="Equation.3" ShapeID="_x0000_i1027" DrawAspect="Content" ObjectID="_1569414635" r:id="rId16"/>
        </w:objec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" w:right="38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Σ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Г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Σ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Г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—суммарная активная и реактивная мощности генераторов,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присоединённых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РУ генераторного напряжения.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" w:right="1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Руководствуясь требованиями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надёжности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тепло- и электроснабжения местного потребителя, на ТЭЦ, как правило, предусматривают два трансформатора связи с системой. При выборе номинальной мощности трансформаторов связи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нагрузочной способности зависит от режима, определившего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расчётную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(наибольшую) мощность. Если вероятность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расчётного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режима достаточно велика (плановое или аварийное отключение одного генератора на станции, аварийная ситуация в системе), то при выборе номинальной мощности можно допускать лишь перегрузку без сокращения срока службы, т. е. использовать </w:t>
      </w: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коэффициент </w:t>
      </w:r>
      <w:r w:rsidRPr="00D75011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lang w:eastAsia="ru-RU"/>
        </w:rPr>
        <w:t>К</w:t>
      </w:r>
      <w:r w:rsidRPr="00D75011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vertAlign w:val="subscript"/>
          <w:lang w:eastAsia="ru-RU"/>
        </w:rPr>
        <w:t>п.сист</w:t>
      </w: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В тех случаях, когда </w:t>
      </w:r>
      <w:r w:rsidR="001A4051"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расчётный</w:t>
      </w: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режим ма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ловероятен (отказ одного из трансформаторов связи), при вы</w:t>
      </w:r>
      <w:r w:rsidRPr="00D7501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боре </w:t>
      </w:r>
      <w:r w:rsidRPr="00D75011">
        <w:rPr>
          <w:rFonts w:ascii="Times New Roman" w:eastAsia="Times New Roman" w:hAnsi="Times New Roman" w:cs="Times New Roman"/>
          <w:i/>
          <w:spacing w:val="-1"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pacing w:val="-1"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используется коэффициент допустимой аварийной пе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регрузки 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K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п.ав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4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трансформаторов на подстанциях выбирается в зависимости от мощности и ответственности потребителей, а также наличия резервных источников питания в сетях среднего и низшего напряжений.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Установка одного трансформатора возможна в следующих случаях: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2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подстанции питаются неответственные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приёмники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причём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случай отказа трансформатора предусмотрен централизованный трансформаторный резерв с возможностью замены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повреждённого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трансформатора в течение суток, не более;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6" w:right="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резервирования питания потребителей первой и второй категорий в сетях среднего и низшего напряжений имеются вторые источники питания,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причём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потребителей первой категории обеспечен автоматический ввод резерва.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2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как большей частью от подстанций питаются потребители всех трех категорий и питание от системы подводится лишь со стороны высшего напряжения, то по условию надежности требуется установка двух трансформаторов. На очень мощных узловых подстанциях может оказаться экономически целесообразной установка трех-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четырёх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трансформаторов (ав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тотрансформаторов) 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38" w:right="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однотрансформаторных подстанциях номинальная мощность трансформатора выбирается с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учётом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возможности систематических перегрузок: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38" w:right="2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расч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max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cosφ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K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п.сист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38" w:right="2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n-US" w:eastAsia="ru-RU"/>
        </w:rPr>
        <w:t>max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— максимальная нагрузка наиболее загруженной обмотки трансформатора, ожидаемая на 5-й год с момента ввода первого трансформатора.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5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При установке на подстанции </w:t>
      </w:r>
      <w:r w:rsidRPr="00D75011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val="en-US" w:eastAsia="ru-RU"/>
        </w:rPr>
        <w:t>N</w:t>
      </w:r>
      <w:r w:rsidRPr="00D75011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vertAlign w:val="subscript"/>
          <w:lang w:val="en-US" w:eastAsia="ru-RU"/>
        </w:rPr>
        <w:t>T</w:t>
      </w:r>
      <w:r w:rsidRPr="00D7501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трансформаторов (</w:t>
      </w:r>
      <w:r w:rsidRPr="00D75011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lang w:val="en-US" w:eastAsia="ru-RU"/>
        </w:rPr>
        <w:t>N</w:t>
      </w:r>
      <w:r w:rsidRPr="00D75011"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vertAlign w:val="subscript"/>
          <w:lang w:val="en-US" w:eastAsia="ru-RU"/>
        </w:rPr>
        <w:t>T</w:t>
      </w:r>
      <w:r w:rsidRPr="00D7501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&gt;1)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расчётным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режимом является отказ одного из трансформаторов, когда оставшиеся в работе с </w:t>
      </w:r>
      <w:r w:rsidR="001A4051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учётом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аварийной перегрузки должны передать всю необходимую мощность:</w:t>
      </w:r>
    </w:p>
    <w:p w:rsidR="00C05EF7" w:rsidRPr="00D75011" w:rsidRDefault="00C05EF7" w:rsidP="00C05E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200" w:dyaOrig="700">
          <v:shape id="_x0000_i1028" type="#_x0000_t75" style="width:160pt;height:35pt" o:ole="">
            <v:imagedata r:id="rId17" o:title=""/>
          </v:shape>
          <o:OLEObject Type="Embed" ProgID="Equation.3" ShapeID="_x0000_i1028" DrawAspect="Content" ObjectID="_1569414636" r:id="rId18"/>
        </w:objec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05EF7" w:rsidRPr="00D75011" w:rsidRDefault="00C05EF7" w:rsidP="00C05EF7">
      <w:pPr>
        <w:shd w:val="clear" w:color="auto" w:fill="FFFFFF"/>
        <w:spacing w:before="175" w:after="0" w:line="240" w:lineRule="auto"/>
        <w:ind w:left="43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проектировании принимается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п.ав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=1,4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(ГОСТ). Такая перегрузка допустима в течение не более 5 суток при условии, что коэффициент начальной нагрузки не более 0,93, а длительность максимума нагрузки не более 6 ч в сутки.</w:t>
      </w:r>
    </w:p>
    <w:p w:rsidR="001A4051" w:rsidRPr="001A4051" w:rsidRDefault="004613A5" w:rsidP="004613A5">
      <w:pPr>
        <w:pStyle w:val="1"/>
        <w:spacing w:before="120" w:after="120" w:line="240" w:lineRule="auto"/>
        <w:rPr>
          <w:rFonts w:ascii="Times New Roman" w:eastAsia="Times New Roman" w:hAnsi="Times New Roman" w:cs="Arial"/>
          <w:bCs w:val="0"/>
          <w:spacing w:val="-3"/>
          <w:lang w:eastAsia="ru-RU"/>
        </w:rPr>
      </w:pPr>
      <w:bookmarkStart w:id="4" w:name="_Toc427400414"/>
      <w:r>
        <w:rPr>
          <w:rFonts w:ascii="Times New Roman" w:eastAsia="Times New Roman" w:hAnsi="Times New Roman" w:cs="Times New Roman"/>
          <w:bCs w:val="0"/>
          <w:spacing w:val="-3"/>
          <w:lang w:eastAsia="ru-RU"/>
        </w:rPr>
        <w:tab/>
      </w:r>
      <w:r w:rsidR="00F72DD0">
        <w:rPr>
          <w:rFonts w:ascii="Times New Roman" w:eastAsia="Times New Roman" w:hAnsi="Times New Roman" w:cs="Times New Roman"/>
          <w:bCs w:val="0"/>
          <w:spacing w:val="-3"/>
          <w:lang w:eastAsia="ru-RU"/>
        </w:rPr>
        <w:t>9</w:t>
      </w:r>
      <w:r w:rsidR="00237C31">
        <w:rPr>
          <w:rFonts w:ascii="Times New Roman" w:eastAsia="Times New Roman" w:hAnsi="Times New Roman" w:cs="Times New Roman"/>
          <w:bCs w:val="0"/>
          <w:spacing w:val="-3"/>
          <w:lang w:eastAsia="ru-RU"/>
        </w:rPr>
        <w:t>.4</w:t>
      </w:r>
      <w:r w:rsidR="00C05EF7" w:rsidRPr="001A4051">
        <w:rPr>
          <w:rFonts w:ascii="Times New Roman" w:eastAsia="Times New Roman" w:hAnsi="Times New Roman" w:cs="Times New Roman"/>
          <w:spacing w:val="-3"/>
          <w:lang w:eastAsia="ru-RU"/>
        </w:rPr>
        <w:t>Выборгенераторов</w:t>
      </w:r>
      <w:bookmarkEnd w:id="4"/>
    </w:p>
    <w:p w:rsidR="00C05EF7" w:rsidRPr="00D75011" w:rsidRDefault="00C05EF7" w:rsidP="00C05EF7">
      <w:pPr>
        <w:shd w:val="clear" w:color="auto" w:fill="FFFFFF"/>
        <w:spacing w:before="245" w:after="0" w:line="240" w:lineRule="auto"/>
        <w:ind w:lef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Турбогенераторы для ТЭС и АЭС выпускаются номинальной мощностью 2,5; 4,0; 6,0; 12; 30; 50; 60(63); 100; 150(160); 200; 220; 300; 500; 800; 1200 МВт. Выбор номинальной мощности агрегатов станций осуществляется еще на стадии ТЭД, число и мощность генераторов входят в задание на проектирование. В ходе рабочего проектирования могут лишь уточняться номинальное напряжение и исполнение машины (система охлаждения, системы возбуждения и завод-изготовитель).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4" w:right="12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Гидрогенераторы выпускаются на номинальные мощности от 8 до 750 МВт в вертикальном и горизонтальном исполнении. Для средних и крупных ГЭС гидрогенераторы выполняются заводом-изготовителем по 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индивидуальному заказу. На ГАЭС наряду с гидрогенераторами применяются синхронные двигатели и обратимые машины как серийного, так и индивидуального изготовления, мощностью от единиц до сотен мегаватт. По сравнению с турбогенераторами гидрогенераторы являются тихоходными машинами. Частота вращения их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выбирается от 50 до 500 об/мин в зависимости от частоты вращения гидротурбин. Номинальная мощность генератора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определяется (в киловаттах) по мощности турбины 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D75011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турб</w:t>
      </w:r>
      <w:r w:rsidRPr="00D7501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</w:t>
      </w:r>
    </w:p>
    <w:p w:rsidR="00C05EF7" w:rsidRPr="00D75011" w:rsidRDefault="00C05EF7" w:rsidP="00C05EF7">
      <w:pPr>
        <w:shd w:val="clear" w:color="auto" w:fill="FFFFFF"/>
        <w:spacing w:before="204" w:after="0" w:line="240" w:lineRule="auto"/>
        <w:ind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P</w:t>
      </w:r>
      <w:r w:rsidRPr="00D75011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=</w:t>
      </w:r>
      <w:r w:rsidRPr="00D75011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N</w:t>
      </w:r>
      <w:r w:rsidRPr="00D75011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турб</w:t>
      </w:r>
      <w:r w:rsidRPr="00D75011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η</w:t>
      </w:r>
      <w:r w:rsidRPr="00D75011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Г</w:t>
      </w:r>
      <w:r w:rsidRPr="00D7501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</w:p>
    <w:p w:rsidR="00C05EF7" w:rsidRPr="00D75011" w:rsidRDefault="00C05EF7" w:rsidP="00C05EF7">
      <w:pPr>
        <w:shd w:val="clear" w:color="auto" w:fill="FFFFFF"/>
        <w:spacing w:before="142" w:after="0" w:line="240" w:lineRule="auto"/>
        <w:ind w:lef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D75011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η</w:t>
      </w:r>
      <w:r w:rsidRPr="00D75011">
        <w:rPr>
          <w:rFonts w:ascii="Times New Roman" w:eastAsia="Times New Roman" w:hAnsi="Times New Roman" w:cs="Times New Roman"/>
          <w:bCs/>
          <w:i/>
          <w:sz w:val="28"/>
          <w:szCs w:val="28"/>
          <w:vertAlign w:val="subscript"/>
          <w:lang w:eastAsia="ru-RU"/>
        </w:rPr>
        <w:t>Г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КПД генератора.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33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Полная номинальная мощность (в киловольт-амперах)</w:t>
      </w:r>
    </w:p>
    <w:p w:rsidR="00C05EF7" w:rsidRPr="00D75011" w:rsidRDefault="00C05EF7" w:rsidP="00C05EF7">
      <w:pPr>
        <w:shd w:val="clear" w:color="auto" w:fill="FFFFFF"/>
        <w:spacing w:before="122" w:after="0" w:line="240" w:lineRule="auto"/>
        <w:ind w:right="48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cosφ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,,</w:t>
      </w:r>
    </w:p>
    <w:p w:rsidR="00C05EF7" w:rsidRPr="00D75011" w:rsidRDefault="00C05EF7" w:rsidP="00C05EF7">
      <w:pPr>
        <w:shd w:val="clear" w:color="auto" w:fill="FFFFFF"/>
        <w:spacing w:before="161" w:after="0" w:line="240" w:lineRule="auto"/>
        <w:ind w:left="7" w:right="43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cos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φ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— номинальный коэффициент мощности, задаваемый на стадии ТЭД.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7" w:right="43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По значениям величин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mallCaps/>
          <w:spacing w:val="-6"/>
          <w:sz w:val="28"/>
          <w:szCs w:val="28"/>
          <w:lang w:eastAsia="ru-RU"/>
        </w:rPr>
        <w:t xml:space="preserve">,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выбирается прототип 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из числа выпускавшихся ранее гидрогенераторов (по каталогам заводов-изготовителей и справочникам).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right="41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Если значения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mallCaps/>
          <w:spacing w:val="-6"/>
          <w:sz w:val="28"/>
          <w:szCs w:val="28"/>
          <w:lang w:eastAsia="ru-RU"/>
        </w:rPr>
        <w:t xml:space="preserve">,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совпадают со значениями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</w:t>
      </w:r>
      <w:r w:rsidRPr="00D75011">
        <w:rPr>
          <w:rFonts w:ascii="Times New Roman" w:eastAsia="Times New Roman" w:hAnsi="Times New Roman" w:cs="Times New Roman"/>
          <w:smallCaps/>
          <w:spacing w:val="-6"/>
          <w:sz w:val="28"/>
          <w:szCs w:val="28"/>
          <w:lang w:eastAsia="ru-RU"/>
        </w:rPr>
        <w:t xml:space="preserve">,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</w:t>
      </w:r>
      <w:r w:rsidRPr="00D75011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для прототипа, то этот тип генератора и выби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рается для установки на ГЭС.</w:t>
      </w:r>
    </w:p>
    <w:p w:rsidR="00C05EF7" w:rsidRPr="00D75011" w:rsidRDefault="00845578" w:rsidP="00C05EF7">
      <w:pPr>
        <w:shd w:val="clear" w:color="auto" w:fill="FFFFFF"/>
        <w:spacing w:after="0" w:line="240" w:lineRule="auto"/>
        <w:ind w:right="1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удаё</w:t>
      </w:r>
      <w:r w:rsidR="00C05EF7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подобрать прототип, у которого частота вращения равна заданной, а мощность отличается от заданной не более чем на 10—15 %, то заказывается генератор с диаметром расточка статора, равным диаметру у прототипа, и высотой активной стали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right="19" w:firstLine="72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t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/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</w:p>
    <w:p w:rsidR="00C05EF7" w:rsidRPr="00D75011" w:rsidRDefault="00C05EF7" w:rsidP="00C05EF7">
      <w:pPr>
        <w:shd w:val="clear" w:color="auto" w:fill="FFFFFF"/>
        <w:spacing w:before="120" w:after="0" w:line="240" w:lineRule="auto"/>
        <w:ind w:lef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l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t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— высота активной стали у генератора-прототипа.</w:t>
      </w:r>
    </w:p>
    <w:p w:rsidR="00C05EF7" w:rsidRPr="00D75011" w:rsidRDefault="00237C31" w:rsidP="00C05EF7">
      <w:pPr>
        <w:shd w:val="clear" w:color="auto" w:fill="FFFFFF"/>
        <w:spacing w:after="192" w:line="240" w:lineRule="auto"/>
        <w:ind w:left="5" w:right="2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удаё</w:t>
      </w:r>
      <w:r w:rsidR="00C05EF7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подобрать прототип, у которого не равны, но близки значения (отличаются не более чем на 10%), 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="00C05EF7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="00C05EF7" w:rsidRPr="00D75011">
        <w:rPr>
          <w:rFonts w:ascii="Times New Roman" w:eastAsia="Times New Roman" w:hAnsi="Times New Roman" w:cs="Times New Roman"/>
          <w:smallCaps/>
          <w:sz w:val="28"/>
          <w:szCs w:val="28"/>
          <w:lang w:eastAsia="ru-RU"/>
        </w:rPr>
        <w:t xml:space="preserve">, 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="00C05EF7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’</w:t>
      </w:r>
      <w:r w:rsidR="00C05EF7"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="00C05EF7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товысота активной стали принимается равной</w:t>
      </w:r>
    </w:p>
    <w:p w:rsidR="00C05EF7" w:rsidRPr="00D75011" w:rsidRDefault="00C05EF7" w:rsidP="00C05EF7">
      <w:pPr>
        <w:shd w:val="clear" w:color="auto" w:fill="FFFFFF"/>
        <w:spacing w:after="192" w:line="240" w:lineRule="auto"/>
        <w:ind w:left="5" w:right="26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75011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600" w:dyaOrig="720">
          <v:shape id="_x0000_i1029" type="#_x0000_t75" style="width:80pt;height:36pt" o:ole="">
            <v:imagedata r:id="rId19" o:title=""/>
          </v:shape>
          <o:OLEObject Type="Embed" ProgID="Equation.3" ShapeID="_x0000_i1029" DrawAspect="Content" ObjectID="_1569414637" r:id="rId20"/>
        </w:objec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05EF7" w:rsidRPr="00D75011" w:rsidRDefault="00C05EF7" w:rsidP="00C05EF7">
      <w:pPr>
        <w:shd w:val="clear" w:color="auto" w:fill="FFFFFF"/>
        <w:spacing w:before="144" w:after="0" w:line="240" w:lineRule="auto"/>
        <w:ind w:lef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отсутствии прототипа, близкого по заданным парамет</w:t>
      </w: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рам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ном</w:t>
      </w:r>
      <w:r w:rsidRPr="00D75011">
        <w:rPr>
          <w:rFonts w:ascii="Times New Roman" w:eastAsia="Times New Roman" w:hAnsi="Times New Roman" w:cs="Times New Roman"/>
          <w:iCs/>
          <w:spacing w:val="-2"/>
          <w:sz w:val="28"/>
          <w:szCs w:val="28"/>
          <w:lang w:eastAsia="ru-RU"/>
        </w:rPr>
        <w:t xml:space="preserve">, </w:t>
      </w: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необходимы специальный </w:t>
      </w:r>
      <w:r w:rsidR="001A4051"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расчёт</w:t>
      </w:r>
      <w:r w:rsidRPr="00D750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главных раз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меров синхронной машины  и составление задания на ее проектирование в КБ завода-изготовителя.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Номинальные напряжения синхронных генераторов принимаются .равными: при мощности до 50 МВт — 6,3; 10,5 кВ; 100—150 МВт—10,5; 15,75; 18 кВ; 200 МВт—15,75; 20 кВ; 200—500 МВт —20; 21; 24 кВ; 800—1000 МВт —24; 27 кВ; 1200 МВт —24 кВ.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Режимы нейтралей в схемах электростанций. 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известно, режим нейтралей в схемах энергоустановок определяется классом напряжения и уровнем тока замыкания фазы на землю. 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блочных трансформаторах , соединенных с РУ 330 кВ и более, нейтрали заземляются обычно без промежуточных элементов, т.е. глухо. 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блочных трансформаторах, соединенных с РУ 110 – 220 кВ нейтрали часто заземлены, но иногда для уменьшения больших токов однофазного замыкании у части блочных трансформаторов они могут разземляться с соблюдением условия 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з</w:t>
      </w:r>
      <w:r w:rsidRPr="00D7501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≤1,4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У автотрансформаторов (на станциях это обычно автотрансформаторы связи) нейтрали всегда заземлены по условию эксплуатации автотрансформаторов.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на электростанции имеется РУ 35 кВ, то применяются двухобмоточные или трехобмоточные (в зависимости от числа РУ) трансформаторы связи. На стороне 35 кВ они работают с режимом изолированной или компенсированной нейтрали (в зависимости от уровня тока замыкания на землю), а на стороне 110 – 220 кВ – с режимом заземлённой нейтрали.</w:t>
      </w:r>
    </w:p>
    <w:p w:rsidR="00C05EF7" w:rsidRPr="00D75011" w:rsidRDefault="00C05EF7" w:rsidP="00C05EF7">
      <w:pPr>
        <w:shd w:val="clear" w:color="auto" w:fill="FFFFFF"/>
        <w:spacing w:after="0" w:line="240" w:lineRule="auto"/>
        <w:ind w:left="19" w:right="17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генераторы электростанций работают с изолированным режимом нейтрали.</w:t>
      </w:r>
    </w:p>
    <w:p w:rsidR="00C05EF7" w:rsidRDefault="00C05EF7" w:rsidP="00C05EF7"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системе питания собственных нужд тепловых станций 6 кВ используется изолированный режим нейтрали. В системе питания собственных нужд 0,4 кВ используется </w:t>
      </w:r>
      <w:r w:rsidR="00845578"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четырёхпроводная</w:t>
      </w:r>
      <w:r w:rsidRPr="00D750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сеть с глухим заземлением нейтрали.</w:t>
      </w:r>
    </w:p>
    <w:p w:rsidR="000C0225" w:rsidRDefault="000C0225"/>
    <w:sectPr w:rsidR="000C0225" w:rsidSect="004613A5">
      <w:footerReference w:type="default" r:id="rId2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446" w:rsidRDefault="00961446" w:rsidP="004613A5">
      <w:pPr>
        <w:spacing w:after="0" w:line="240" w:lineRule="auto"/>
      </w:pPr>
      <w:r>
        <w:separator/>
      </w:r>
    </w:p>
  </w:endnote>
  <w:endnote w:type="continuationSeparator" w:id="1">
    <w:p w:rsidR="00961446" w:rsidRDefault="00961446" w:rsidP="0046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45612754"/>
    </w:sdtPr>
    <w:sdtContent>
      <w:p w:rsidR="004613A5" w:rsidRDefault="00F066D8">
        <w:pPr>
          <w:pStyle w:val="a9"/>
          <w:jc w:val="right"/>
        </w:pPr>
        <w:r>
          <w:fldChar w:fldCharType="begin"/>
        </w:r>
        <w:r w:rsidR="004613A5">
          <w:instrText>PAGE   \* MERGEFORMAT</w:instrText>
        </w:r>
        <w:r>
          <w:fldChar w:fldCharType="separate"/>
        </w:r>
        <w:r w:rsidR="00F72DD0">
          <w:rPr>
            <w:noProof/>
          </w:rPr>
          <w:t>8</w:t>
        </w:r>
        <w:r>
          <w:fldChar w:fldCharType="end"/>
        </w:r>
      </w:p>
    </w:sdtContent>
  </w:sdt>
  <w:p w:rsidR="004613A5" w:rsidRDefault="004613A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446" w:rsidRDefault="00961446" w:rsidP="004613A5">
      <w:pPr>
        <w:spacing w:after="0" w:line="240" w:lineRule="auto"/>
      </w:pPr>
      <w:r>
        <w:separator/>
      </w:r>
    </w:p>
  </w:footnote>
  <w:footnote w:type="continuationSeparator" w:id="1">
    <w:p w:rsidR="00961446" w:rsidRDefault="00961446" w:rsidP="004613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D4E0A"/>
    <w:rsid w:val="000C0225"/>
    <w:rsid w:val="000C3FCE"/>
    <w:rsid w:val="001A4051"/>
    <w:rsid w:val="00237C31"/>
    <w:rsid w:val="004613A5"/>
    <w:rsid w:val="00740E3B"/>
    <w:rsid w:val="0074121E"/>
    <w:rsid w:val="00845578"/>
    <w:rsid w:val="00961446"/>
    <w:rsid w:val="00AB562A"/>
    <w:rsid w:val="00BD4E0A"/>
    <w:rsid w:val="00C05EF7"/>
    <w:rsid w:val="00E96529"/>
    <w:rsid w:val="00F066D8"/>
    <w:rsid w:val="00F72D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EF7"/>
  </w:style>
  <w:style w:type="paragraph" w:styleId="1">
    <w:name w:val="heading 1"/>
    <w:basedOn w:val="a"/>
    <w:next w:val="a"/>
    <w:link w:val="10"/>
    <w:uiPriority w:val="9"/>
    <w:qFormat/>
    <w:rsid w:val="0084557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5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5EF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455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OC Heading"/>
    <w:basedOn w:val="1"/>
    <w:next w:val="a"/>
    <w:uiPriority w:val="39"/>
    <w:semiHidden/>
    <w:unhideWhenUsed/>
    <w:qFormat/>
    <w:rsid w:val="00845578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845578"/>
    <w:pPr>
      <w:spacing w:after="100"/>
    </w:pPr>
  </w:style>
  <w:style w:type="character" w:styleId="a6">
    <w:name w:val="Hyperlink"/>
    <w:basedOn w:val="a0"/>
    <w:uiPriority w:val="99"/>
    <w:unhideWhenUsed/>
    <w:rsid w:val="00845578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4613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613A5"/>
  </w:style>
  <w:style w:type="paragraph" w:styleId="a9">
    <w:name w:val="footer"/>
    <w:basedOn w:val="a"/>
    <w:link w:val="aa"/>
    <w:uiPriority w:val="99"/>
    <w:unhideWhenUsed/>
    <w:rsid w:val="004613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613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EF7"/>
  </w:style>
  <w:style w:type="paragraph" w:styleId="1">
    <w:name w:val="heading 1"/>
    <w:basedOn w:val="a"/>
    <w:next w:val="a"/>
    <w:link w:val="10"/>
    <w:uiPriority w:val="9"/>
    <w:qFormat/>
    <w:rsid w:val="0084557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5E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5EF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4557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OC Heading"/>
    <w:basedOn w:val="1"/>
    <w:next w:val="a"/>
    <w:uiPriority w:val="39"/>
    <w:semiHidden/>
    <w:unhideWhenUsed/>
    <w:qFormat/>
    <w:rsid w:val="00845578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845578"/>
    <w:pPr>
      <w:spacing w:after="100"/>
    </w:pPr>
  </w:style>
  <w:style w:type="character" w:styleId="a6">
    <w:name w:val="Hyperlink"/>
    <w:basedOn w:val="a0"/>
    <w:uiPriority w:val="99"/>
    <w:unhideWhenUsed/>
    <w:rsid w:val="00845578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4613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613A5"/>
  </w:style>
  <w:style w:type="paragraph" w:styleId="a9">
    <w:name w:val="footer"/>
    <w:basedOn w:val="a"/>
    <w:link w:val="aa"/>
    <w:uiPriority w:val="99"/>
    <w:unhideWhenUsed/>
    <w:rsid w:val="004613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613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oleObject" Target="embeddings/oleObject2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CA2991-B172-4940-A3C8-6A448E6CA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2490</Words>
  <Characters>14196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DAmirbek</cp:lastModifiedBy>
  <cp:revision>2</cp:revision>
  <dcterms:created xsi:type="dcterms:W3CDTF">2017-10-13T09:44:00Z</dcterms:created>
  <dcterms:modified xsi:type="dcterms:W3CDTF">2017-10-13T09:44:00Z</dcterms:modified>
</cp:coreProperties>
</file>